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
        <w:rPr>
          <w:rFonts w:ascii="黑体" w:hAnsi="黑体" w:eastAsia="黑体"/>
          <w:sz w:val="32"/>
          <w:szCs w:val="32"/>
        </w:rPr>
      </w:pPr>
      <w:bookmarkStart w:id="0" w:name="_GoBack"/>
      <w:bookmarkEnd w:id="0"/>
      <w:r>
        <w:rPr>
          <w:rFonts w:hint="eastAsia" w:ascii="黑体" w:hAnsi="黑体" w:eastAsia="黑体"/>
          <w:sz w:val="32"/>
          <w:szCs w:val="32"/>
        </w:rPr>
        <w:t>附件3</w:t>
      </w:r>
    </w:p>
    <w:p>
      <w:pPr>
        <w:ind w:right="-57"/>
        <w:jc w:val="center"/>
        <w:rPr>
          <w:rFonts w:ascii="方正小标宋简体" w:hAnsi="黑体" w:eastAsia="方正小标宋简体"/>
          <w:sz w:val="44"/>
          <w:szCs w:val="44"/>
        </w:rPr>
      </w:pPr>
      <w:r>
        <w:rPr>
          <w:rFonts w:hint="eastAsia" w:ascii="方正小标宋简体" w:hAnsi="黑体" w:eastAsia="方正小标宋简体"/>
          <w:sz w:val="44"/>
          <w:szCs w:val="44"/>
        </w:rPr>
        <w:t>关键信息基础设施管理单位网络安全工作责任制落实考核指标</w:t>
      </w:r>
    </w:p>
    <w:tbl>
      <w:tblPr>
        <w:tblStyle w:val="5"/>
        <w:tblW w:w="14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412"/>
        <w:gridCol w:w="567"/>
        <w:gridCol w:w="7093"/>
        <w:gridCol w:w="99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4186" w:type="dxa"/>
            <w:gridSpan w:val="6"/>
            <w:vAlign w:val="center"/>
          </w:tcPr>
          <w:p>
            <w:pPr>
              <w:spacing w:line="400" w:lineRule="exact"/>
              <w:ind w:right="-57"/>
              <w:jc w:val="center"/>
              <w:rPr>
                <w:rFonts w:ascii="仿宋_GB2312" w:hAnsi="黑体" w:eastAsia="仿宋_GB2312"/>
                <w:b/>
                <w:sz w:val="24"/>
              </w:rPr>
            </w:pPr>
            <w:r>
              <w:rPr>
                <w:rFonts w:hint="eastAsia" w:ascii="仿宋_GB2312" w:hAnsi="黑体" w:eastAsia="仿宋_GB2312"/>
                <w:b/>
                <w:sz w:val="24"/>
              </w:rPr>
              <w:t>考核对象：                                                                        考核时间：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95" w:type="dxa"/>
            <w:vAlign w:val="center"/>
          </w:tcPr>
          <w:p>
            <w:pPr>
              <w:spacing w:line="400" w:lineRule="exact"/>
              <w:ind w:right="-57"/>
              <w:jc w:val="center"/>
              <w:rPr>
                <w:rFonts w:ascii="仿宋_GB2312" w:hAnsi="黑体" w:eastAsia="仿宋_GB2312"/>
                <w:b/>
                <w:sz w:val="24"/>
              </w:rPr>
            </w:pPr>
            <w:r>
              <w:rPr>
                <w:rFonts w:hint="eastAsia" w:ascii="仿宋_GB2312" w:hAnsi="黑体" w:eastAsia="仿宋_GB2312"/>
                <w:b/>
                <w:sz w:val="24"/>
              </w:rPr>
              <w:t>考核指标</w:t>
            </w:r>
          </w:p>
        </w:tc>
        <w:tc>
          <w:tcPr>
            <w:tcW w:w="2412" w:type="dxa"/>
            <w:vAlign w:val="center"/>
          </w:tcPr>
          <w:p>
            <w:pPr>
              <w:spacing w:line="400" w:lineRule="exact"/>
              <w:ind w:right="-57"/>
              <w:jc w:val="center"/>
              <w:rPr>
                <w:rFonts w:ascii="仿宋_GB2312" w:hAnsi="黑体" w:eastAsia="仿宋_GB2312"/>
                <w:b/>
                <w:sz w:val="24"/>
              </w:rPr>
            </w:pPr>
            <w:r>
              <w:rPr>
                <w:rFonts w:hint="eastAsia" w:ascii="仿宋_GB2312" w:hAnsi="黑体" w:eastAsia="仿宋_GB2312"/>
                <w:b/>
                <w:sz w:val="24"/>
              </w:rPr>
              <w:t>考核内容</w:t>
            </w:r>
          </w:p>
        </w:tc>
        <w:tc>
          <w:tcPr>
            <w:tcW w:w="7660" w:type="dxa"/>
            <w:gridSpan w:val="2"/>
            <w:vAlign w:val="center"/>
          </w:tcPr>
          <w:p>
            <w:pPr>
              <w:spacing w:line="400" w:lineRule="exact"/>
              <w:ind w:right="-57"/>
              <w:jc w:val="center"/>
              <w:rPr>
                <w:rFonts w:ascii="仿宋_GB2312" w:hAnsi="黑体" w:eastAsia="仿宋_GB2312"/>
                <w:b/>
                <w:sz w:val="24"/>
              </w:rPr>
            </w:pPr>
            <w:r>
              <w:rPr>
                <w:rFonts w:hint="eastAsia" w:ascii="仿宋_GB2312" w:hAnsi="黑体" w:eastAsia="仿宋_GB2312"/>
                <w:b/>
                <w:sz w:val="24"/>
              </w:rPr>
              <w:t>考核项</w:t>
            </w:r>
          </w:p>
        </w:tc>
        <w:tc>
          <w:tcPr>
            <w:tcW w:w="993" w:type="dxa"/>
            <w:vAlign w:val="center"/>
          </w:tcPr>
          <w:p>
            <w:pPr>
              <w:spacing w:line="400" w:lineRule="exact"/>
              <w:ind w:right="-57"/>
              <w:jc w:val="center"/>
              <w:rPr>
                <w:rFonts w:ascii="仿宋_GB2312" w:hAnsi="黑体" w:eastAsia="仿宋_GB2312"/>
                <w:b/>
                <w:sz w:val="24"/>
              </w:rPr>
            </w:pPr>
            <w:r>
              <w:rPr>
                <w:rFonts w:hint="eastAsia" w:ascii="仿宋_GB2312" w:hAnsi="黑体" w:eastAsia="仿宋_GB2312"/>
                <w:b/>
                <w:sz w:val="24"/>
              </w:rPr>
              <w:t>分值</w:t>
            </w:r>
          </w:p>
        </w:tc>
        <w:tc>
          <w:tcPr>
            <w:tcW w:w="1026" w:type="dxa"/>
            <w:vAlign w:val="center"/>
          </w:tcPr>
          <w:p>
            <w:pPr>
              <w:spacing w:line="400" w:lineRule="exact"/>
              <w:ind w:right="-57"/>
              <w:jc w:val="center"/>
              <w:rPr>
                <w:rFonts w:ascii="仿宋_GB2312" w:hAnsi="黑体" w:eastAsia="仿宋_GB2312"/>
                <w:b/>
                <w:sz w:val="24"/>
              </w:rPr>
            </w:pPr>
            <w:r>
              <w:rPr>
                <w:rFonts w:hint="eastAsia" w:ascii="仿宋_GB2312" w:hAnsi="黑体"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一、政策法规</w:t>
            </w:r>
          </w:p>
        </w:tc>
        <w:tc>
          <w:tcPr>
            <w:tcW w:w="2412" w:type="dxa"/>
            <w:vMerge w:val="restart"/>
            <w:vAlign w:val="center"/>
          </w:tcPr>
          <w:p>
            <w:pPr>
              <w:spacing w:line="400" w:lineRule="exact"/>
              <w:ind w:right="-57"/>
              <w:jc w:val="left"/>
              <w:rPr>
                <w:rFonts w:ascii="仿宋_GB2312" w:hAnsi="黑体" w:eastAsia="仿宋_GB2312"/>
                <w:sz w:val="24"/>
              </w:rPr>
            </w:pPr>
            <w:r>
              <w:rPr>
                <w:rFonts w:hint="eastAsia" w:ascii="仿宋_GB2312" w:hAnsi="黑体" w:eastAsia="仿宋_GB2312"/>
                <w:sz w:val="24"/>
              </w:rPr>
              <w:t>1.贯彻落实工作</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t>□贯彻落实中央和省委、市委的决策部署</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095" w:type="dxa"/>
            <w:vMerge w:val="continue"/>
            <w:vAlign w:val="center"/>
          </w:tcPr>
          <w:p>
            <w:pPr>
              <w:spacing w:line="400" w:lineRule="exact"/>
              <w:ind w:right="-57"/>
              <w:jc w:val="center"/>
              <w:rPr>
                <w:rFonts w:ascii="仿宋_GB2312" w:hAnsi="黑体" w:eastAsia="仿宋_GB2312"/>
                <w:sz w:val="24"/>
              </w:rPr>
            </w:pPr>
          </w:p>
        </w:tc>
        <w:tc>
          <w:tcPr>
            <w:tcW w:w="2412" w:type="dxa"/>
            <w:vMerge w:val="continue"/>
            <w:vAlign w:val="center"/>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制定网络安全工作相关规划、落实措施</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095" w:type="dxa"/>
            <w:vMerge w:val="continue"/>
            <w:vAlign w:val="center"/>
          </w:tcPr>
          <w:p>
            <w:pPr>
              <w:spacing w:line="400" w:lineRule="exact"/>
              <w:ind w:right="-57"/>
              <w:jc w:val="center"/>
              <w:rPr>
                <w:rFonts w:ascii="仿宋_GB2312" w:hAnsi="黑体" w:eastAsia="仿宋_GB2312"/>
                <w:sz w:val="24"/>
              </w:rPr>
            </w:pPr>
          </w:p>
        </w:tc>
        <w:tc>
          <w:tcPr>
            <w:tcW w:w="2412" w:type="dxa"/>
            <w:vMerge w:val="continue"/>
            <w:vAlign w:val="center"/>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t>□制定落实相关政策的工作方案、实施办法等</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095" w:type="dxa"/>
            <w:vMerge w:val="continue"/>
            <w:vAlign w:val="center"/>
          </w:tcPr>
          <w:p>
            <w:pPr>
              <w:spacing w:line="400" w:lineRule="exact"/>
              <w:ind w:right="-57"/>
              <w:jc w:val="center"/>
              <w:rPr>
                <w:rFonts w:ascii="仿宋_GB2312" w:hAnsi="黑体" w:eastAsia="仿宋_GB2312"/>
                <w:sz w:val="24"/>
              </w:rPr>
            </w:pPr>
          </w:p>
        </w:tc>
        <w:tc>
          <w:tcPr>
            <w:tcW w:w="2412" w:type="dxa"/>
            <w:vMerge w:val="continue"/>
            <w:vAlign w:val="center"/>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4</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t>□按时完成上年度网络安全工作总结</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095" w:type="dxa"/>
            <w:vMerge w:val="continue"/>
            <w:vAlign w:val="center"/>
          </w:tcPr>
          <w:p>
            <w:pPr>
              <w:spacing w:line="400" w:lineRule="exact"/>
              <w:ind w:right="-57"/>
              <w:jc w:val="center"/>
              <w:rPr>
                <w:rFonts w:ascii="仿宋_GB2312" w:hAnsi="黑体" w:eastAsia="仿宋_GB2312"/>
                <w:sz w:val="24"/>
              </w:rPr>
            </w:pPr>
          </w:p>
        </w:tc>
        <w:tc>
          <w:tcPr>
            <w:tcW w:w="2412" w:type="dxa"/>
            <w:vMerge w:val="continue"/>
            <w:vAlign w:val="center"/>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5</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t>□明确本年度网络安全工作安排、重点任务等</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二、制度建设</w:t>
            </w:r>
          </w:p>
        </w:tc>
        <w:tc>
          <w:tcPr>
            <w:tcW w:w="2412" w:type="dxa"/>
            <w:vMerge w:val="restart"/>
            <w:vAlign w:val="center"/>
          </w:tcPr>
          <w:p>
            <w:pPr>
              <w:spacing w:line="400" w:lineRule="exact"/>
              <w:ind w:right="-57"/>
              <w:jc w:val="left"/>
              <w:rPr>
                <w:rFonts w:ascii="仿宋_GB2312" w:hAnsi="黑体" w:eastAsia="仿宋_GB2312"/>
                <w:sz w:val="24"/>
              </w:rPr>
            </w:pPr>
            <w:r>
              <w:rPr>
                <w:rFonts w:hint="eastAsia" w:ascii="仿宋_GB2312" w:hAnsi="黑体" w:eastAsia="仿宋_GB2312"/>
                <w:sz w:val="24"/>
              </w:rPr>
              <w:t>2.组织机构</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6</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t>□明确网络安全工作机构</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095" w:type="dxa"/>
            <w:vMerge w:val="continue"/>
            <w:vAlign w:val="center"/>
          </w:tcPr>
          <w:p>
            <w:pPr>
              <w:spacing w:line="400" w:lineRule="exact"/>
              <w:ind w:right="-57"/>
              <w:jc w:val="center"/>
              <w:rPr>
                <w:rFonts w:ascii="仿宋_GB2312" w:hAnsi="黑体" w:eastAsia="仿宋_GB2312"/>
                <w:sz w:val="24"/>
              </w:rPr>
            </w:pPr>
          </w:p>
        </w:tc>
        <w:tc>
          <w:tcPr>
            <w:tcW w:w="2412" w:type="dxa"/>
            <w:vMerge w:val="continue"/>
            <w:vAlign w:val="center"/>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7</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t>□明确网络安全工作机构职责</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vAlign w:val="center"/>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8</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t>□及时报告网络安全工作机构负责人和联系人变动情况</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9</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将网络安全工作纳入重要议事日程</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10</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落实网络安全工作经费</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3.网络安全工作报告</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11</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按时报送年度网络安全工作报告</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5</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095" w:type="dxa"/>
            <w:vMerge w:val="continue"/>
          </w:tcPr>
          <w:p>
            <w:pPr>
              <w:spacing w:line="400" w:lineRule="exact"/>
              <w:ind w:right="-57"/>
              <w:jc w:val="center"/>
              <w:rPr>
                <w:rFonts w:ascii="仿宋_GB2312" w:hAnsi="黑体" w:eastAsia="仿宋_GB2312"/>
                <w:sz w:val="24"/>
              </w:rPr>
            </w:pP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4.表彰奖励</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12</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获得上级相关工作得表彰和奖励</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095" w:type="dxa"/>
            <w:vMerge w:val="continue"/>
          </w:tcPr>
          <w:p>
            <w:pPr>
              <w:spacing w:line="400" w:lineRule="exact"/>
              <w:ind w:right="-57"/>
              <w:jc w:val="center"/>
              <w:rPr>
                <w:rFonts w:ascii="仿宋_GB2312" w:hAnsi="黑体" w:eastAsia="仿宋_GB2312"/>
                <w:sz w:val="24"/>
              </w:rPr>
            </w:pP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5.人才培养</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13</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制定网络安全人才引进、使用和培养相关政策措施</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考核指标</w:t>
            </w:r>
          </w:p>
        </w:tc>
        <w:tc>
          <w:tcPr>
            <w:tcW w:w="2412"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考核内容</w:t>
            </w:r>
          </w:p>
        </w:tc>
        <w:tc>
          <w:tcPr>
            <w:tcW w:w="7660" w:type="dxa"/>
            <w:gridSpan w:val="2"/>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考核项</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分值</w:t>
            </w:r>
          </w:p>
        </w:tc>
        <w:tc>
          <w:tcPr>
            <w:tcW w:w="1026"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二、制度建设</w:t>
            </w: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6.落实网络安全责任制</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14</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开展网络安全责任制考核</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15</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考核结果作为领导班子和有关领导干部综合考核评价重要内容</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16</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将网络安全建设和绩效纳入审计范围</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7.对网络安全职能部门支持和保障</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17</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为网络安全职能部门开展工作提供支持和保障</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三、系统运行</w:t>
            </w: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8.重大事件</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18</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建立本单位网络安全和信息化重大事项报告制度</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19</w:t>
            </w:r>
          </w:p>
        </w:tc>
        <w:tc>
          <w:tcPr>
            <w:tcW w:w="7093" w:type="dxa"/>
          </w:tcPr>
          <w:p>
            <w:pPr>
              <w:spacing w:line="400" w:lineRule="exact"/>
              <w:ind w:right="-57"/>
              <w:rPr>
                <w:rFonts w:ascii="仿宋_GB2312" w:hAnsi="仿宋_GB2312" w:eastAsia="仿宋_GB2312" w:cs="仿宋_GB2312"/>
                <w:szCs w:val="21"/>
              </w:rPr>
            </w:pPr>
            <w:r>
              <w:rPr>
                <w:rFonts w:hint="eastAsia" w:ascii="仿宋_GB2312" w:hAnsi="黑体" w:eastAsia="仿宋_GB2312"/>
                <w:sz w:val="24"/>
              </w:rPr>
              <w:sym w:font="Wingdings 2" w:char="00A3"/>
            </w:r>
            <w:r>
              <w:rPr>
                <w:rFonts w:hint="eastAsia" w:ascii="仿宋_GB2312" w:hAnsi="黑体" w:eastAsia="仿宋_GB2312"/>
                <w:sz w:val="24"/>
              </w:rPr>
              <w:t>以下事件本单位本年度均未发生</w:t>
            </w:r>
          </w:p>
          <w:p>
            <w:pPr>
              <w:spacing w:line="400" w:lineRule="exact"/>
              <w:ind w:right="-57"/>
              <w:rPr>
                <w:rFonts w:ascii="仿宋_GB2312" w:hAnsi="仿宋_GB2312" w:eastAsia="仿宋_GB2312" w:cs="仿宋_GB2312"/>
                <w:szCs w:val="21"/>
              </w:rPr>
            </w:pPr>
            <w:r>
              <w:rPr>
                <w:rFonts w:hint="eastAsia" w:ascii="仿宋_GB2312" w:hAnsi="仿宋_GB2312" w:eastAsia="仿宋_GB2312" w:cs="仿宋_GB2312"/>
                <w:szCs w:val="21"/>
              </w:rPr>
              <w:t>①网络与信息系统被攻击篡改，导致反动言论或者谣言等违法有害信息大面积扩散，且没有及时报告和组织处理的；</w:t>
            </w:r>
          </w:p>
          <w:p>
            <w:pPr>
              <w:spacing w:line="400" w:lineRule="exact"/>
              <w:ind w:right="-57"/>
              <w:rPr>
                <w:rFonts w:ascii="仿宋_GB2312" w:hAnsi="仿宋_GB2312" w:eastAsia="仿宋_GB2312" w:cs="仿宋_GB2312"/>
                <w:szCs w:val="21"/>
              </w:rPr>
            </w:pPr>
            <w:r>
              <w:rPr>
                <w:rFonts w:hint="eastAsia" w:ascii="仿宋_GB2312" w:hAnsi="仿宋_GB2312" w:eastAsia="仿宋_GB2312" w:cs="仿宋_GB2312"/>
                <w:szCs w:val="21"/>
              </w:rPr>
              <w:t>②网站受攻击后没有及时组织处置，且瘫痪6小时以上的；</w:t>
            </w:r>
          </w:p>
          <w:p>
            <w:pPr>
              <w:spacing w:line="400" w:lineRule="exact"/>
              <w:ind w:right="-57"/>
              <w:rPr>
                <w:rFonts w:ascii="仿宋_GB2312" w:hAnsi="仿宋_GB2312" w:eastAsia="仿宋_GB2312" w:cs="仿宋_GB2312"/>
                <w:szCs w:val="21"/>
              </w:rPr>
            </w:pPr>
            <w:r>
              <w:rPr>
                <w:rFonts w:hint="eastAsia" w:ascii="仿宋_GB2312" w:hAnsi="仿宋_GB2312" w:eastAsia="仿宋_GB2312" w:cs="仿宋_GB2312"/>
                <w:szCs w:val="21"/>
              </w:rPr>
              <w:t>③国家秘密泄露、大面积个人信息泄露或者大量地理、人口、资源等国家基础数据泄露的；</w:t>
            </w:r>
          </w:p>
          <w:p>
            <w:pPr>
              <w:spacing w:line="400" w:lineRule="exact"/>
              <w:ind w:right="-57"/>
              <w:rPr>
                <w:rFonts w:ascii="仿宋_GB2312" w:hAnsi="仿宋_GB2312" w:eastAsia="仿宋_GB2312" w:cs="仿宋_GB2312"/>
                <w:szCs w:val="21"/>
              </w:rPr>
            </w:pPr>
            <w:r>
              <w:rPr>
                <w:rFonts w:hint="eastAsia" w:ascii="仿宋_GB2312" w:hAnsi="仿宋_GB2312" w:eastAsia="仿宋_GB2312" w:cs="仿宋_GB2312"/>
                <w:szCs w:val="21"/>
              </w:rPr>
              <w:t>④关键信息基础设施遭受网络攻击，没有及时处置导致大面积影响人民群众工作、生活，或者造成重大经济损失，或者造成严重不良社会影响的；</w:t>
            </w:r>
          </w:p>
          <w:p>
            <w:pPr>
              <w:spacing w:line="400" w:lineRule="exact"/>
              <w:ind w:right="-57"/>
              <w:rPr>
                <w:rFonts w:ascii="仿宋_GB2312" w:hAnsi="仿宋_GB2312" w:eastAsia="仿宋_GB2312" w:cs="仿宋_GB2312"/>
                <w:sz w:val="24"/>
              </w:rPr>
            </w:pPr>
            <w:r>
              <w:rPr>
                <w:rFonts w:hint="eastAsia" w:ascii="仿宋_GB2312" w:hAnsi="仿宋_GB2312" w:eastAsia="仿宋_GB2312" w:cs="仿宋_GB2312"/>
                <w:szCs w:val="21"/>
              </w:rPr>
              <w:t>⑤其他有严重不良社会影响网络安全事件。</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6</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9.安全保障</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20</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及时向行业主管监管部门报送新建、停运关键信息基础设施或关键信息基础设施发生重大变化的情况</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21</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网络安全关键岗位施行持证上岗，并组织从业人员定期进行岗位技能培训</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考核指标</w:t>
            </w:r>
          </w:p>
        </w:tc>
        <w:tc>
          <w:tcPr>
            <w:tcW w:w="2412"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考核内容</w:t>
            </w:r>
          </w:p>
        </w:tc>
        <w:tc>
          <w:tcPr>
            <w:tcW w:w="7660" w:type="dxa"/>
            <w:gridSpan w:val="2"/>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考核项</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分值</w:t>
            </w:r>
          </w:p>
        </w:tc>
        <w:tc>
          <w:tcPr>
            <w:tcW w:w="1026"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三、系统运行</w:t>
            </w: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9.安全保障</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22</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采购网络产品和服务，与提供者明确安全和保密义务与责任</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23</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信息系统在境内运营中收集或产生的个人信息和重要数据在境内存储</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24</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自行或委托网络安全服务机构对网络与信息系统的安全性和风险隐患每年至少进行一次检测评估，对发现的问题及时整改，并将有关情况报告行业主管或监管部门</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10.管理制度</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25</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制定全面的网络安全管理制度</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26</w:t>
            </w:r>
          </w:p>
        </w:tc>
        <w:tc>
          <w:tcPr>
            <w:tcW w:w="7093" w:type="dxa"/>
            <w:vAlign w:val="center"/>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网络安全管理制度执行记录完整</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11.人员安全</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27</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与重点岗位人员签订网络安全保密协议</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28</w:t>
            </w:r>
          </w:p>
        </w:tc>
        <w:tc>
          <w:tcPr>
            <w:tcW w:w="7093" w:type="dxa"/>
          </w:tcPr>
          <w:p>
            <w:pPr>
              <w:spacing w:line="400" w:lineRule="exact"/>
              <w:ind w:right="-57"/>
              <w:rPr>
                <w:rFonts w:ascii="仿宋_GB2312" w:hAnsi="黑体" w:eastAsia="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外部人员访问重要区域时采取访问控制措施</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95" w:type="dxa"/>
            <w:vMerge w:val="continue"/>
          </w:tcPr>
          <w:p>
            <w:pPr>
              <w:spacing w:line="400" w:lineRule="exact"/>
              <w:ind w:right="-57"/>
              <w:jc w:val="center"/>
              <w:rPr>
                <w:rFonts w:ascii="仿宋_GB2312" w:hAnsi="黑体" w:eastAsia="仿宋_GB2312"/>
                <w:sz w:val="24"/>
              </w:rPr>
            </w:pP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12.物理安全</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29</w:t>
            </w:r>
          </w:p>
        </w:tc>
        <w:tc>
          <w:tcPr>
            <w:tcW w:w="7093" w:type="dxa"/>
          </w:tcPr>
          <w:p>
            <w:pPr>
              <w:spacing w:line="400" w:lineRule="exact"/>
              <w:ind w:right="-57"/>
              <w:rPr>
                <w:rFonts w:ascii="仿宋_GB2312" w:hAnsi="黑体" w:eastAsia="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机房安全措施满足相关要求，并明确维护部门和人员</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13.网络安全</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30</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网络边界防护具备阻止木马攻击、拒绝服务攻击、网络蠕虫攻击等能力</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31</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在网络边界部署访问控制设备，启用访问控制功能</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14.系统安全</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32</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启用系统访问控制功能，依据安全策略控制用户对资源的访问</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33</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具备恶意代码防护能力</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095" w:type="dxa"/>
            <w:vMerge w:val="continue"/>
          </w:tcPr>
          <w:p>
            <w:pPr>
              <w:spacing w:line="400" w:lineRule="exact"/>
              <w:ind w:right="-57"/>
              <w:jc w:val="center"/>
              <w:rPr>
                <w:rFonts w:ascii="仿宋_GB2312" w:hAnsi="黑体" w:eastAsia="仿宋_GB2312"/>
                <w:sz w:val="24"/>
              </w:rPr>
            </w:pP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15.数据安全</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34</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应根据数据的重要性及其对系统的影响，制定备份恢复策略</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16.应用安全</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35</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具备用户身份鉴别功能</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36</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提供应用访问控制功能，依据安全策略控制用户的访问权限</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考核指标</w:t>
            </w:r>
          </w:p>
        </w:tc>
        <w:tc>
          <w:tcPr>
            <w:tcW w:w="2412"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考核内容</w:t>
            </w:r>
          </w:p>
        </w:tc>
        <w:tc>
          <w:tcPr>
            <w:tcW w:w="7660" w:type="dxa"/>
            <w:gridSpan w:val="2"/>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考核项</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分值</w:t>
            </w:r>
          </w:p>
        </w:tc>
        <w:tc>
          <w:tcPr>
            <w:tcW w:w="1026"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三、系统运行</w:t>
            </w:r>
          </w:p>
        </w:tc>
        <w:tc>
          <w:tcPr>
            <w:tcW w:w="2412" w:type="dxa"/>
          </w:tcPr>
          <w:p>
            <w:pPr>
              <w:spacing w:line="400" w:lineRule="exact"/>
              <w:ind w:right="-57"/>
              <w:jc w:val="left"/>
              <w:rPr>
                <w:rFonts w:ascii="仿宋_GB2312" w:hAnsi="黑体" w:eastAsia="仿宋_GB2312"/>
                <w:sz w:val="24"/>
              </w:rPr>
            </w:pPr>
            <w:r>
              <w:rPr>
                <w:rFonts w:hint="eastAsia" w:ascii="仿宋_GB2312" w:hAnsi="黑体" w:eastAsia="仿宋_GB2312"/>
                <w:sz w:val="24"/>
              </w:rPr>
              <w:t>16.应用安全</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37</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有网站信息发布审核机制</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17.运维安全</w:t>
            </w: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38</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开展网络安全监测预警</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39</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定期开展网络安全自查并对发现的问题及时整改</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40</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有完善的网络、应用、数据备份恢复措施和策略</w:t>
            </w:r>
          </w:p>
        </w:tc>
        <w:tc>
          <w:tcPr>
            <w:tcW w:w="993" w:type="dxa"/>
          </w:tcPr>
          <w:p>
            <w:pPr>
              <w:spacing w:line="400" w:lineRule="exact"/>
              <w:ind w:right="-57"/>
              <w:jc w:val="center"/>
              <w:rPr>
                <w:rFonts w:ascii="仿宋_GB2312" w:hAnsi="黑体" w:eastAsia="仿宋_GB2312"/>
                <w:sz w:val="24"/>
              </w:rPr>
            </w:pPr>
            <w:r>
              <w:rPr>
                <w:rFonts w:hint="eastAsia" w:ascii="仿宋_GB2312" w:hAnsi="黑体" w:eastAsia="仿宋_GB2312"/>
                <w:sz w:val="24"/>
              </w:rPr>
              <w:t>1</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restart"/>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四、应急处置</w:t>
            </w:r>
          </w:p>
        </w:tc>
        <w:tc>
          <w:tcPr>
            <w:tcW w:w="2412" w:type="dxa"/>
            <w:vMerge w:val="restart"/>
            <w:vAlign w:val="center"/>
          </w:tcPr>
          <w:p>
            <w:pPr>
              <w:spacing w:line="400" w:lineRule="exact"/>
              <w:ind w:right="-57"/>
              <w:rPr>
                <w:rFonts w:ascii="仿宋_GB2312" w:hAnsi="黑体" w:eastAsia="仿宋_GB2312"/>
                <w:sz w:val="24"/>
              </w:rPr>
            </w:pPr>
            <w:r>
              <w:rPr>
                <w:rFonts w:hint="eastAsia" w:ascii="仿宋_GB2312" w:hAnsi="黑体" w:eastAsia="仿宋_GB2312"/>
                <w:sz w:val="24"/>
              </w:rPr>
              <w:t>18.应急管理</w:t>
            </w: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41</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制定网络安全应急预案</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4</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42</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组织应急演练</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2</w:t>
            </w:r>
          </w:p>
        </w:tc>
        <w:tc>
          <w:tcPr>
            <w:tcW w:w="1026" w:type="dxa"/>
          </w:tcPr>
          <w:p>
            <w:pPr>
              <w:spacing w:line="400" w:lineRule="exact"/>
              <w:ind w:right="-57"/>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095" w:type="dxa"/>
            <w:vMerge w:val="continue"/>
          </w:tcPr>
          <w:p>
            <w:pPr>
              <w:spacing w:line="400" w:lineRule="exact"/>
              <w:ind w:right="-57"/>
              <w:jc w:val="center"/>
              <w:rPr>
                <w:rFonts w:ascii="仿宋_GB2312" w:hAnsi="黑体" w:eastAsia="仿宋_GB2312"/>
                <w:sz w:val="24"/>
              </w:rPr>
            </w:pPr>
          </w:p>
        </w:tc>
        <w:tc>
          <w:tcPr>
            <w:tcW w:w="2412" w:type="dxa"/>
            <w:vMerge w:val="continue"/>
          </w:tcPr>
          <w:p>
            <w:pPr>
              <w:spacing w:line="400" w:lineRule="exact"/>
              <w:ind w:right="-57"/>
              <w:jc w:val="left"/>
              <w:rPr>
                <w:rFonts w:ascii="仿宋_GB2312" w:hAnsi="黑体" w:eastAsia="仿宋_GB2312"/>
                <w:sz w:val="24"/>
              </w:rPr>
            </w:pPr>
          </w:p>
        </w:tc>
        <w:tc>
          <w:tcPr>
            <w:tcW w:w="567"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43</w:t>
            </w:r>
          </w:p>
        </w:tc>
        <w:tc>
          <w:tcPr>
            <w:tcW w:w="7093" w:type="dxa"/>
          </w:tcPr>
          <w:p>
            <w:pPr>
              <w:spacing w:line="400" w:lineRule="exact"/>
              <w:ind w:right="-57"/>
              <w:rPr>
                <w:rFonts w:ascii="仿宋_GB2312" w:hAnsi="黑体" w:eastAsia="仿宋_GB2312"/>
                <w:sz w:val="24"/>
              </w:rPr>
            </w:pPr>
            <w:r>
              <w:rPr>
                <w:rFonts w:hint="eastAsia" w:ascii="仿宋_GB2312" w:hAnsi="黑体" w:eastAsia="仿宋_GB2312"/>
                <w:sz w:val="24"/>
              </w:rPr>
              <w:sym w:font="Wingdings 2" w:char="00A3"/>
            </w:r>
            <w:r>
              <w:rPr>
                <w:rFonts w:hint="eastAsia" w:ascii="仿宋_GB2312" w:hAnsi="黑体" w:eastAsia="仿宋_GB2312"/>
                <w:sz w:val="24"/>
              </w:rPr>
              <w:t>发生网络安全事件及时按照应急预案进行处置并按要求报告行业主管监管部门或网络安全和信息化部门</w:t>
            </w:r>
          </w:p>
        </w:tc>
        <w:tc>
          <w:tcPr>
            <w:tcW w:w="993" w:type="dxa"/>
            <w:vAlign w:val="center"/>
          </w:tcPr>
          <w:p>
            <w:pPr>
              <w:spacing w:line="400" w:lineRule="exact"/>
              <w:ind w:right="-57"/>
              <w:jc w:val="center"/>
              <w:rPr>
                <w:rFonts w:ascii="仿宋_GB2312" w:hAnsi="黑体" w:eastAsia="仿宋_GB2312"/>
                <w:sz w:val="24"/>
              </w:rPr>
            </w:pPr>
            <w:r>
              <w:rPr>
                <w:rFonts w:hint="eastAsia" w:ascii="仿宋_GB2312" w:hAnsi="黑体" w:eastAsia="仿宋_GB2312"/>
                <w:sz w:val="24"/>
              </w:rPr>
              <w:t>4</w:t>
            </w:r>
          </w:p>
        </w:tc>
        <w:tc>
          <w:tcPr>
            <w:tcW w:w="1026" w:type="dxa"/>
          </w:tcPr>
          <w:p>
            <w:pPr>
              <w:spacing w:line="400" w:lineRule="exact"/>
              <w:ind w:right="-57"/>
              <w:jc w:val="center"/>
              <w:rPr>
                <w:rFonts w:ascii="仿宋_GB2312" w:hAnsi="黑体" w:eastAsia="仿宋_GB2312"/>
                <w:sz w:val="24"/>
              </w:rPr>
            </w:pPr>
          </w:p>
        </w:tc>
      </w:tr>
    </w:tbl>
    <w:p>
      <w:pPr>
        <w:rPr>
          <w:rFonts w:ascii="仿宋_GB2312" w:hAnsi="仿宋_GB2312" w:eastAsia="仿宋_GB2312" w:cs="仿宋_GB2312"/>
          <w:sz w:val="32"/>
          <w:szCs w:val="32"/>
        </w:rPr>
        <w:sectPr>
          <w:footerReference r:id="rId3" w:type="default"/>
          <w:pgSz w:w="16838" w:h="11906" w:orient="landscape"/>
          <w:pgMar w:top="851" w:right="1440" w:bottom="1800" w:left="1440" w:header="851" w:footer="992" w:gutter="0"/>
          <w:pgNumType w:fmt="numberInDash"/>
          <w:cols w:space="720" w:num="1"/>
          <w:docGrid w:type="lines" w:linePitch="312" w:charSpace="0"/>
        </w:sectPr>
      </w:pPr>
    </w:p>
    <w:p>
      <w:pPr>
        <w:rPr>
          <w:rFonts w:ascii="仿宋_GB2312" w:hAnsi="仿宋_GB2312" w:eastAsia="仿宋_GB2312" w:cs="仿宋_GB2312"/>
          <w:sz w:val="32"/>
          <w:szCs w:val="32"/>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44"/>
    <w:rsid w:val="00021DBC"/>
    <w:rsid w:val="000467E0"/>
    <w:rsid w:val="00054A9C"/>
    <w:rsid w:val="001337CF"/>
    <w:rsid w:val="00141602"/>
    <w:rsid w:val="00143D73"/>
    <w:rsid w:val="001C216A"/>
    <w:rsid w:val="0022722F"/>
    <w:rsid w:val="00270C11"/>
    <w:rsid w:val="00285457"/>
    <w:rsid w:val="00327173"/>
    <w:rsid w:val="00423844"/>
    <w:rsid w:val="00460A94"/>
    <w:rsid w:val="004828DF"/>
    <w:rsid w:val="004B1A99"/>
    <w:rsid w:val="0051632B"/>
    <w:rsid w:val="006B1FCB"/>
    <w:rsid w:val="00740FF7"/>
    <w:rsid w:val="00776F1D"/>
    <w:rsid w:val="007D1D30"/>
    <w:rsid w:val="008629DC"/>
    <w:rsid w:val="008D7DA3"/>
    <w:rsid w:val="008E3F6A"/>
    <w:rsid w:val="00902E62"/>
    <w:rsid w:val="00B21844"/>
    <w:rsid w:val="00BB4E92"/>
    <w:rsid w:val="00C02FAE"/>
    <w:rsid w:val="00C120EF"/>
    <w:rsid w:val="00C33123"/>
    <w:rsid w:val="00C92D5F"/>
    <w:rsid w:val="00D27960"/>
    <w:rsid w:val="00D7777A"/>
    <w:rsid w:val="00DA0456"/>
    <w:rsid w:val="00DF2F10"/>
    <w:rsid w:val="00E12F10"/>
    <w:rsid w:val="00E65739"/>
    <w:rsid w:val="00E91D8A"/>
    <w:rsid w:val="00F4286A"/>
    <w:rsid w:val="00F56248"/>
    <w:rsid w:val="00F96949"/>
    <w:rsid w:val="046F7893"/>
    <w:rsid w:val="0C643FC0"/>
    <w:rsid w:val="131839C8"/>
    <w:rsid w:val="4CC000D7"/>
    <w:rsid w:val="4CC63A38"/>
    <w:rsid w:val="4CE96B89"/>
    <w:rsid w:val="5BC819A8"/>
    <w:rsid w:val="5CA7749E"/>
    <w:rsid w:val="6BE53708"/>
    <w:rsid w:val="6FFD642C"/>
    <w:rsid w:val="700772AF"/>
    <w:rsid w:val="741859FB"/>
    <w:rsid w:val="7D8F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2"/>
    <w:uiPriority w:val="0"/>
    <w:rPr>
      <w:kern w:val="2"/>
      <w:sz w:val="18"/>
      <w:szCs w:val="18"/>
    </w:rPr>
  </w:style>
  <w:style w:type="character" w:customStyle="1" w:styleId="8">
    <w:name w:val="页眉 Char"/>
    <w:basedOn w:val="4"/>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Words>
  <Characters>1669</Characters>
  <Lines>13</Lines>
  <Paragraphs>3</Paragraphs>
  <TotalTime>15</TotalTime>
  <ScaleCrop>false</ScaleCrop>
  <LinksUpToDate>false</LinksUpToDate>
  <CharactersWithSpaces>1958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2018-09-26T07:15:00Z</dcterms:created>
  <dc:creator>yy</dc:creator>
  <cp:lastModifiedBy>A熊猫</cp:lastModifiedBy>
  <cp:lastPrinted>2018-08-31T00:39:00Z</cp:lastPrinted>
  <dcterms:modified xsi:type="dcterms:W3CDTF">2018-10-15T00:51:16Z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